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Georgia" w:cs="Georgia" w:eastAsia="Georgia" w:hAnsi="Georgia"/>
          <w:b/>
          <w:bCs/>
          <w:color w:val="263238"/>
          <w:sz w:val="40"/>
          <w:szCs w:val="40"/>
        </w:rPr>
        <w:t xml:space="preserve">ADVOCATE PRECIOUS MAHLANGU</w:t>
      </w:r>
    </w:p>
    <w:p>
      <w:pPr>
        <w:spacing w:after="60"/>
      </w:pPr>
      <w:r>
        <w:rPr>
          <w:rFonts w:ascii="Georgia" w:cs="Georgia" w:eastAsia="Georgia" w:hAnsi="Georgia"/>
          <w:color w:val="555555"/>
          <w:sz w:val="21"/>
          <w:szCs w:val="21"/>
        </w:rPr>
        <w:t xml:space="preserve">LLB (Cum Laude)  |  Admitted Attorney of the High Court  |  Commercial &amp; Labour Law</w:t>
      </w:r>
    </w:p>
    <w:p>
      <w:pPr>
        <w:pBdr>
          <w:bottom w:val="single" w:color="BF9B30" w:sz="6"/>
        </w:pBdr>
        <w:spacing w:after="200"/>
      </w:pPr>
      <w:r>
        <w:rPr>
          <w:rFonts w:ascii="Georgia" w:cs="Georgia" w:eastAsia="Georgia" w:hAnsi="Georgia"/>
          <w:color w:val="777777"/>
          <w:sz w:val="18"/>
          <w:szCs w:val="18"/>
        </w:rPr>
        <w:t xml:space="preserve">precious.m@gmail.com  |  +27 82 444 6688  |  Pretoria, GP  |  LSSA No. 23456789</w:t>
      </w:r>
    </w:p>
    <w:p>
      <w:pPr>
        <w:pBdr>
          <w:bottom w:val="single" w:color="BF9B30" w:sz="8"/>
        </w:pBdr>
        <w:spacing w:after="80" w:before="200"/>
      </w:pPr>
      <w:r>
        <w:rPr>
          <w:rFonts w:ascii="Georgia" w:cs="Georgia" w:eastAsia="Georgia" w:hAnsi="Georgia"/>
          <w:b/>
          <w:bCs/>
          <w:color w:val="263238"/>
          <w:sz w:val="24"/>
          <w:szCs w:val="24"/>
        </w:rPr>
        <w:t xml:space="preserve">PROFESSIONAL PROFILE</w:t>
      </w:r>
    </w:p>
    <w:p>
      <w:pPr>
        <w:spacing w:after="140"/>
      </w:pPr>
      <w:r>
        <w:rPr>
          <w:rFonts w:ascii="Georgia" w:cs="Georgia" w:eastAsia="Georgia" w:hAnsi="Georgia"/>
          <w:sz w:val="20"/>
          <w:szCs w:val="20"/>
        </w:rPr>
        <w:t xml:space="preserve">Admitted Attorney with 10 years of practice in commercial litigation, M&amp;A, and employment law. Successfully argued before the Labour Court and High Court. Managed a R2.8B M&amp;A transaction from due diligence through to competition tribunal clearance. Recognised by Chambers Africa as a notable practitioner.</w:t>
      </w:r>
    </w:p>
    <w:p>
      <w:pPr>
        <w:pBdr>
          <w:bottom w:val="single" w:color="BF9B30" w:sz="8"/>
        </w:pBdr>
        <w:spacing w:after="80" w:before="200"/>
      </w:pPr>
      <w:r>
        <w:rPr>
          <w:rFonts w:ascii="Georgia" w:cs="Georgia" w:eastAsia="Georgia" w:hAnsi="Georgia"/>
          <w:b/>
          <w:bCs/>
          <w:color w:val="263238"/>
          <w:sz w:val="24"/>
          <w:szCs w:val="24"/>
        </w:rPr>
        <w:t xml:space="preserve">PROFESSIONAL EXPERIENCE</w:t>
      </w:r>
    </w:p>
    <w:p>
      <w:pPr>
        <w:spacing w:after="3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Senior Associate — Bowmans Attorneys</w:t>
      </w:r>
    </w:p>
    <w:p>
      <w:pPr>
        <w:spacing w:after="70"/>
      </w:pPr>
      <w:r>
        <w:rPr>
          <w:rFonts w:ascii="Georgia" w:cs="Georgia" w:eastAsia="Georgia" w:hAnsi="Georgia"/>
          <w:i/>
          <w:iCs/>
          <w:color w:val="777777"/>
          <w:sz w:val="18"/>
          <w:szCs w:val="18"/>
        </w:rPr>
        <w:t xml:space="preserve">2018 – Present  |  Johannesburg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Advised on 14 M&amp;A transactions with combined deal value exceeding R12B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Led due diligence team for R2.8B acquisition; identified R340M contingent liability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Argued 9 High Court matters; 7 judgments in client's favour</w:t>
      </w:r>
    </w:p>
    <w:p>
      <w:pPr>
        <w:spacing w:after="3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Associate Attorney — Cliffe Dekker Hofmeyr</w:t>
      </w:r>
    </w:p>
    <w:p>
      <w:pPr>
        <w:spacing w:after="70"/>
      </w:pPr>
      <w:r>
        <w:rPr>
          <w:rFonts w:ascii="Georgia" w:cs="Georgia" w:eastAsia="Georgia" w:hAnsi="Georgia"/>
          <w:i/>
          <w:iCs/>
          <w:color w:val="777777"/>
          <w:sz w:val="18"/>
          <w:szCs w:val="18"/>
        </w:rPr>
        <w:t xml:space="preserve">2014 – 2018  |  Pretoria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Drafted and negotiated 60+ commercial agreements including SLAs and JVAs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Represented clients in 22 CCMA arbitrations; 82% success rate</w:t>
      </w:r>
    </w:p>
    <w:p>
      <w:pPr>
        <w:pBdr>
          <w:bottom w:val="single" w:color="BF9B30" w:sz="8"/>
        </w:pBdr>
        <w:spacing w:after="80" w:before="200"/>
      </w:pPr>
      <w:r>
        <w:rPr>
          <w:rFonts w:ascii="Georgia" w:cs="Georgia" w:eastAsia="Georgia" w:hAnsi="Georgia"/>
          <w:b/>
          <w:bCs/>
          <w:color w:val="263238"/>
          <w:sz w:val="24"/>
          <w:szCs w:val="24"/>
        </w:rPr>
        <w:t xml:space="preserve">EDUCATION</w:t>
      </w:r>
    </w:p>
    <w:p>
      <w:p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LLM Commercial Law — University of Pretoria  |  2016  (Cum Laude)</w:t>
      </w:r>
    </w:p>
    <w:p>
      <w:r>
        <w:rPr>
          <w:rFonts w:ascii="Georgia" w:cs="Georgia" w:eastAsia="Georgia" w:hAnsi="Georgia"/>
          <w:sz w:val="20"/>
          <w:szCs w:val="20"/>
        </w:rPr>
        <w:t xml:space="preserve">LLB — University of Pretoria  |  2013  (Cum Laude)  |  Admitted to the High Court: 2014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2026-04-09T22:35:44.403Z</dcterms:created>
  <dcterms:modified xsi:type="dcterms:W3CDTF">2026-04-09T22:35:44.403Z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