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8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9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796B"/>
                <w:sz w:val="30"/>
                <w:szCs w:val="30"/>
              </w:rPr>
              <w:t xml:space="preserve">THABO MOKOENA</w:t>
            </w:r>
          </w:p>
          <w:p>
            <w:pPr>
              <w:spacing w:after="140"/>
              <w:jc w:val="center"/>
            </w:pP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Senior Software Engineer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20"/>
                <w:szCs w:val="20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+27 71 444 9988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thabo.m@gmail.com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Pretoria, GP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github.com/thabomok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20"/>
                <w:szCs w:val="20"/>
              </w:rPr>
              <w:t xml:space="preserve">SKILLS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Python / Django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React / TypeScript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AWS / GCP / Azure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Docker / Kubernetes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PostgreSQL / Redis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CI/CD / GitHub Actions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333333"/>
                <w:sz w:val="20"/>
                <w:szCs w:val="20"/>
              </w:rPr>
              <w:t xml:space="preserve">CERTIFICATIONS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AWS Solutions Architect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Google Cloud Professional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sz w:val="17"/>
                <w:szCs w:val="17"/>
              </w:rPr>
              <w:t xml:space="preserve">CompTIA Security+</w:t>
            </w:r>
          </w:p>
        </w:tc>
        <w:tc>
          <w:tcPr>
            <w:tcW w:type="dxa" w:w="7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80"/>
              <w:bottom w:type="dxa" w:w="200"/>
              <w:right w:type="dxa" w:w="200"/>
            </w:tcMar>
          </w:tcPr>
          <w:p>
            <w:pPr>
              <w:pBdr>
                <w:bottom w:val="single" w:color="00796B" w:sz="6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00796B"/>
                <w:sz w:val="24"/>
                <w:szCs w:val="24"/>
              </w:rPr>
              <w:t xml:space="preserve">PROFESSIONAL SUMMARY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sz w:val="19"/>
                <w:szCs w:val="19"/>
              </w:rPr>
              <w:t xml:space="preserve">Senior Software Engineer with 9 years delivering scalable backend systems and cloud-native solutions. Led a team that reduced API response times by 68% for a platform serving 2.4M users.</w:t>
            </w:r>
          </w:p>
          <w:p>
            <w:pPr>
              <w:pBdr>
                <w:bottom w:val="single" w:color="00796B" w:sz="6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00796B"/>
                <w:sz w:val="24"/>
                <w:szCs w:val="24"/>
              </w:rPr>
              <w:t xml:space="preserve">EXPERIENCE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Senior Software Engineer — Nuvola Tech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2020 – Present  |  Johannesburg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Architected microservices platform handling 12M daily transactions, achieving 99.97% uptime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Reduced API latency by 68% through Redis caching and query optimisation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Led team of 7 engineers; introduced code-review standards that cut production bugs by 40%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Software Developer — FinStack SA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i/>
                <w:iCs/>
                <w:color w:val="777777"/>
                <w:sz w:val="18"/>
                <w:szCs w:val="18"/>
              </w:rPr>
              <w:t xml:space="preserve">2017 – 2020  |  Cape Town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Delivered payment integration for 3 major banks, processing R1.8B in annual transactions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Migrated legacy monolith to containerised architecture; deployment time cut from 4 hours to 12 min</w:t>
            </w:r>
          </w:p>
          <w:p>
            <w:pPr>
              <w:pBdr>
                <w:bottom w:val="single" w:color="00796B" w:sz="6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00796B"/>
                <w:sz w:val="24"/>
                <w:szCs w:val="24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sz w:val="19"/>
                <w:szCs w:val="19"/>
              </w:rPr>
              <w:t xml:space="preserve">BSc Computer Science — University of Pretoria  |  2016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2026-04-09T22:35:44.194Z</dcterms:created>
  <dcterms:modified xsi:type="dcterms:W3CDTF">2026-04-09T22:35:44.194Z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