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eorgia" w:cs="Georgia" w:eastAsia="Georgia" w:hAnsi="Georgia"/>
          <w:b/>
          <w:bCs/>
          <w:color w:val="1A3560"/>
          <w:sz w:val="52"/>
          <w:szCs w:val="52"/>
        </w:rPr>
        <w:t xml:space="preserve">AMAHLE DLAMINI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555555"/>
          <w:sz w:val="24"/>
          <w:szCs w:val="24"/>
        </w:rPr>
        <w:t xml:space="preserve">CA(SA)  |  Chief Financial Officer</w:t>
      </w:r>
    </w:p>
    <w:p>
      <w:pPr>
        <w:pBdr>
          <w:bottom w:val="single" w:color="1A3560" w:sz="8"/>
        </w:pBdr>
        <w:spacing w:after="60"/>
        <w:jc w:val="center"/>
      </w:pPr>
      <w:r>
        <w:rPr>
          <w:rFonts w:ascii="Georgia" w:cs="Georgia" w:eastAsia="Georgia" w:hAnsi="Georgia"/>
          <w:color w:val="777777"/>
          <w:sz w:val="18"/>
          <w:szCs w:val="18"/>
        </w:rPr>
        <w:t xml:space="preserve">amahle.dlamini@gmail.com  |  +27 82 555 1234  |  Johannesburg, GP  |  linkedin.com/in/amahledlamini</w:t>
      </w:r>
    </w:p>
    <w:p>
      <w:pPr>
        <w:pBdr>
          <w:bottom w:val="single" w:color="1A3560" w:sz="6"/>
        </w:pBdr>
        <w:spacing w:after="80" w:before="200"/>
      </w:pPr>
      <w:r>
        <w:rPr>
          <w:rFonts w:ascii="Georgia" w:cs="Georgia" w:eastAsia="Georgia" w:hAnsi="Georgia"/>
          <w:b/>
          <w:bCs/>
          <w:color w:val="1A3560"/>
          <w:sz w:val="24"/>
          <w:szCs w:val="24"/>
        </w:rPr>
        <w:t xml:space="preserve">PROFESSIONAL SUMMARY</w:t>
      </w:r>
    </w:p>
    <w:p>
      <w:pPr>
        <w:spacing w:after="140"/>
      </w:pPr>
      <w:r>
        <w:rPr>
          <w:rFonts w:ascii="Georgia" w:cs="Georgia" w:eastAsia="Georgia" w:hAnsi="Georgia"/>
          <w:sz w:val="20"/>
          <w:szCs w:val="20"/>
        </w:rPr>
        <w:t xml:space="preserve">CA(SA)-qualified CFO with 14 years of progressive leadership in JSE-listed financial services and fintech. Led a R2.1B balance sheet restructuring that reduced cost of capital by 22%. Expert in IFRS reporting, treasury management, board-level stakeholder engagement, and regulatory compliance across SARB and FSB frameworks.</w:t>
      </w:r>
    </w:p>
    <w:p>
      <w:pPr>
        <w:pBdr>
          <w:bottom w:val="single" w:color="1A3560" w:sz="6"/>
        </w:pBdr>
        <w:spacing w:after="80" w:before="200"/>
      </w:pPr>
      <w:r>
        <w:rPr>
          <w:rFonts w:ascii="Georgia" w:cs="Georgia" w:eastAsia="Georgia" w:hAnsi="Georgia"/>
          <w:b/>
          <w:bCs/>
          <w:color w:val="1A3560"/>
          <w:sz w:val="24"/>
          <w:szCs w:val="24"/>
        </w:rPr>
        <w:t xml:space="preserve">PROFESSIONAL EXPERIENCE</w:t>
      </w:r>
    </w:p>
    <w:p>
      <w:pPr>
        <w:spacing w:after="3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Chief Financial Officer — Apex Financial Holdings</w:t>
      </w:r>
    </w:p>
    <w:p>
      <w:pPr>
        <w:spacing w:after="70"/>
      </w:pPr>
      <w:r>
        <w:rPr>
          <w:rFonts w:ascii="Georgia" w:cs="Georgia" w:eastAsia="Georgia" w:hAnsi="Georgia"/>
          <w:i/>
          <w:iCs/>
          <w:color w:val="777777"/>
          <w:sz w:val="18"/>
          <w:szCs w:val="18"/>
        </w:rPr>
        <w:t xml:space="preserve">Johannesburg  |  Jan 2019 –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Led R2.1B balance sheet restructuring, reducing cost of capital by 22% and improving liquidity ratios to best-in-sector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Oversaw IFRS 9 transition across 4 business units; zero material audit findings for 5 consecutive years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Built and mentored a 22-person finance division; promoted 8 internal candidates to senior roles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Presented quarterly results to board and institutional investors, maintaining AA credit rating throughout tenure</w:t>
      </w:r>
    </w:p>
    <w:p>
      <w:pPr>
        <w:spacing w:after="3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Finance Manager — Standard Financial Services</w:t>
      </w:r>
    </w:p>
    <w:p>
      <w:pPr>
        <w:spacing w:after="70"/>
      </w:pPr>
      <w:r>
        <w:rPr>
          <w:rFonts w:ascii="Georgia" w:cs="Georgia" w:eastAsia="Georgia" w:hAnsi="Georgia"/>
          <w:i/>
          <w:iCs/>
          <w:color w:val="777777"/>
          <w:sz w:val="18"/>
          <w:szCs w:val="18"/>
        </w:rPr>
        <w:t xml:space="preserve">Cape Town  |  Mar 2014 – Dec 2018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Managed R280M monthly management accounts; met board reporting deadlines with zero late submissions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Designed treasury hedging strategy saving R18M annually in FX exposure</w:t>
      </w:r>
    </w:p>
    <w:p>
      <w:pPr>
        <w:pBdr>
          <w:bottom w:val="single" w:color="1A3560" w:sz="6"/>
        </w:pBdr>
        <w:spacing w:after="80" w:before="200"/>
      </w:pPr>
      <w:r>
        <w:rPr>
          <w:rFonts w:ascii="Georgia" w:cs="Georgia" w:eastAsia="Georgia" w:hAnsi="Georgia"/>
          <w:b/>
          <w:bCs/>
          <w:color w:val="1A3560"/>
          <w:sz w:val="24"/>
          <w:szCs w:val="24"/>
        </w:rPr>
        <w:t xml:space="preserve">EDUCATION &amp; QUALIFICATIONS</w:t>
      </w:r>
    </w:p>
    <w:p>
      <w:p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CA(SA) — SAICA  |  2013</w:t>
      </w:r>
    </w:p>
    <w:p>
      <w:p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BCom (Honours) Accounting — UCT  |  2010</w:t>
      </w:r>
    </w:p>
    <w:p>
      <w:pPr>
        <w:pBdr>
          <w:bottom w:val="single" w:color="1A3560" w:sz="6"/>
        </w:pBdr>
        <w:spacing w:after="80" w:before="200"/>
      </w:pPr>
      <w:r>
        <w:rPr>
          <w:rFonts w:ascii="Georgia" w:cs="Georgia" w:eastAsia="Georgia" w:hAnsi="Georgia"/>
          <w:b/>
          <w:bCs/>
          <w:color w:val="1A3560"/>
          <w:sz w:val="24"/>
          <w:szCs w:val="24"/>
        </w:rPr>
        <w:t xml:space="preserve">CORE COMPETENCIES</w:t>
      </w:r>
    </w:p>
    <w:p>
      <w:pPr>
        <w:spacing w:after="60"/>
      </w:pPr>
      <w:r>
        <w:rPr>
          <w:rFonts w:ascii="Georgia" w:cs="Georgia" w:eastAsia="Georgia" w:hAnsi="Georgia"/>
          <w:sz w:val="20"/>
          <w:szCs w:val="20"/>
        </w:rPr>
        <w:t xml:space="preserve">IFRS Reporting  |  Treasury Management  |  Financial Modelling  |  Board Reporting  |  Regulatory Compliance  |  Team Leadership  |  M&amp;A Due Diligence  |  Risk Management</w:t>
      </w:r>
    </w:p>
    <w:p>
      <w:pPr>
        <w:pBdr>
          <w:bottom w:val="single" w:color="1A3560" w:sz="6"/>
        </w:pBdr>
        <w:spacing w:after="80" w:before="200"/>
      </w:pPr>
      <w:r>
        <w:rPr>
          <w:rFonts w:ascii="Georgia" w:cs="Georgia" w:eastAsia="Georgia" w:hAnsi="Georgia"/>
          <w:b/>
          <w:bCs/>
          <w:color w:val="1A3560"/>
          <w:sz w:val="24"/>
          <w:szCs w:val="24"/>
        </w:rPr>
        <w:t xml:space="preserve">REFERENCES</w:t>
      </w:r>
    </w:p>
    <w:p>
      <w:r>
        <w:rPr>
          <w:rFonts w:ascii="Georgia" w:cs="Georgia" w:eastAsia="Georgia" w:hAnsi="Georgia"/>
          <w:i/>
          <w:iCs/>
          <w:sz w:val="20"/>
          <w:szCs w:val="20"/>
        </w:rPr>
        <w:t xml:space="preserve">Available on request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2026-04-09T22:35:44.108Z</dcterms:created>
  <dcterms:modified xsi:type="dcterms:W3CDTF">2026-04-09T22:35:44.109Z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